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42" w:rsidRPr="00F64B4D" w:rsidRDefault="00A96C34">
      <w:bookmarkStart w:id="0" w:name="_GoBack"/>
      <w:bookmarkEnd w:id="0"/>
      <w:r w:rsidRPr="00F64B4D">
        <w:t xml:space="preserve">Kaiser Permanente Children’s Care Network </w:t>
      </w:r>
      <w:r w:rsidR="000D3342" w:rsidRPr="00F64B4D">
        <w:t>Service Line Agreement</w:t>
      </w:r>
      <w:r w:rsidR="00BE2BE7">
        <w:t xml:space="preserve"> – Appendicitis/Abdominal Pain</w:t>
      </w:r>
    </w:p>
    <w:p w:rsidR="000D3342" w:rsidRPr="00F64B4D" w:rsidRDefault="000D3342">
      <w:r w:rsidRPr="00F64B4D">
        <w:t xml:space="preserve">Re: </w:t>
      </w:r>
      <w:r w:rsidRPr="00F64B4D">
        <w:rPr>
          <w:b/>
        </w:rPr>
        <w:t>Pediatric Patients aged 0-13 years with Possible Appendicitis</w:t>
      </w:r>
      <w:r w:rsidR="00457BA1" w:rsidRPr="00F64B4D">
        <w:t xml:space="preserve"> Presenting to Facilities without Inpatient Pediatrics Ward.</w:t>
      </w:r>
    </w:p>
    <w:p w:rsidR="000D3342" w:rsidRDefault="000D3342">
      <w:r w:rsidRPr="00F64B4D">
        <w:t>Purpose: To expedite the evaluation and inter-facility transfer of these patients, while minimizing the transfer of patients who do not have appendicitis</w:t>
      </w:r>
      <w:r w:rsidR="00457BA1" w:rsidRPr="00F64B4D">
        <w:t xml:space="preserve"> </w:t>
      </w:r>
    </w:p>
    <w:p w:rsidR="00BE2BE7" w:rsidRDefault="00BE2BE7">
      <w:r>
        <w:t>Definitions:</w:t>
      </w:r>
    </w:p>
    <w:p w:rsidR="00BE2BE7" w:rsidRDefault="00BE2BE7" w:rsidP="00BE2BE7">
      <w:pPr>
        <w:spacing w:after="0"/>
      </w:pPr>
      <w:r>
        <w:t>General Medical Center (GMC): Kaiser Hospital without inpatient pediatrics floor</w:t>
      </w:r>
    </w:p>
    <w:p w:rsidR="00BE2BE7" w:rsidRDefault="00BE2BE7" w:rsidP="00BE2BE7">
      <w:pPr>
        <w:spacing w:after="0"/>
      </w:pPr>
      <w:r>
        <w:t>Specialty/Tertiary Medical Center (STMC): Kaiser Hospital with inpatient pediatrics floor</w:t>
      </w:r>
    </w:p>
    <w:p w:rsidR="00BE2BE7" w:rsidRPr="00F64B4D" w:rsidRDefault="00BE2BE7">
      <w:r>
        <w:t>Surgeon on Duty (SOD): Surgeon on call for the designated medical center</w:t>
      </w:r>
    </w:p>
    <w:p w:rsidR="007C4874" w:rsidRPr="00F64B4D" w:rsidRDefault="007C4874">
      <w:r w:rsidRPr="00F64B4D">
        <w:t>Steps:</w:t>
      </w:r>
    </w:p>
    <w:p w:rsidR="007C4874" w:rsidRPr="00F64B4D" w:rsidRDefault="007C4874">
      <w:r w:rsidRPr="00F64B4D">
        <w:t xml:space="preserve">Pediatric Patient with abdominal pain </w:t>
      </w:r>
      <w:r w:rsidR="00DF42B7" w:rsidRPr="00F64B4D">
        <w:t xml:space="preserve">presents </w:t>
      </w:r>
      <w:r w:rsidRPr="00F64B4D">
        <w:t xml:space="preserve">to ED or </w:t>
      </w:r>
      <w:r w:rsidR="00A96C34" w:rsidRPr="00F64B4D">
        <w:t>Pediatric Urgent C</w:t>
      </w:r>
      <w:r w:rsidRPr="00F64B4D">
        <w:t>are</w:t>
      </w:r>
      <w:r w:rsidR="00DF42B7" w:rsidRPr="00F64B4D">
        <w:t xml:space="preserve"> in </w:t>
      </w:r>
      <w:r w:rsidR="00BE2BE7">
        <w:t>GMC</w:t>
      </w:r>
    </w:p>
    <w:p w:rsidR="00DF42B7" w:rsidRDefault="00DF42B7" w:rsidP="006B63A3">
      <w:r w:rsidRPr="00F64B4D">
        <w:t>Provider in E</w:t>
      </w:r>
      <w:r w:rsidR="005A41FF">
        <w:t>R</w:t>
      </w:r>
      <w:r w:rsidRPr="00F64B4D">
        <w:t xml:space="preserve">/Urgent Care </w:t>
      </w:r>
      <w:r w:rsidR="005A41FF">
        <w:t xml:space="preserve">MD </w:t>
      </w:r>
      <w:r w:rsidR="007D2ACB" w:rsidRPr="00F64B4D">
        <w:t>believes that the patient has appendicitis and</w:t>
      </w:r>
      <w:r w:rsidR="005A41FF">
        <w:t xml:space="preserve"> there is no definitive imaging then they will call the local/GMC</w:t>
      </w:r>
      <w:r w:rsidR="00924702">
        <w:t xml:space="preserve"> SOD to confirm the diagnosis. If t</w:t>
      </w:r>
      <w:r w:rsidR="005A41FF">
        <w:t xml:space="preserve">he local/GMC SOD </w:t>
      </w:r>
      <w:r w:rsidR="00924702">
        <w:t xml:space="preserve">agrees that the patient has appendicitis, </w:t>
      </w:r>
      <w:r w:rsidR="00AE36FB">
        <w:t>they will contact PTAC (Pediatric Treatment and Advice Center) who w</w:t>
      </w:r>
      <w:r w:rsidR="005A41FF">
        <w:t xml:space="preserve">ill </w:t>
      </w:r>
      <w:r w:rsidR="00AE36FB">
        <w:t xml:space="preserve">arrange for a bed and facilitate the conversation with the SOD in the </w:t>
      </w:r>
      <w:r w:rsidR="005A41FF">
        <w:t xml:space="preserve">STMC </w:t>
      </w:r>
      <w:r w:rsidR="005A41FF" w:rsidRPr="00F64B4D">
        <w:t>(ages 0-5 years contact Pediatric Surgery, ages 6-13 years contact Adult General Surgery)</w:t>
      </w:r>
      <w:r w:rsidR="00924702">
        <w:t>.</w:t>
      </w:r>
      <w:r w:rsidR="00AE36FB">
        <w:t xml:space="preserve"> Whenever possible, a surgeon to surgeon handoff is preferred. However, if the local SOD is unavailable and </w:t>
      </w:r>
      <w:r w:rsidR="005A41FF">
        <w:t>t</w:t>
      </w:r>
      <w:r w:rsidR="00AE36FB">
        <w:t>here is a positive CT scan for a</w:t>
      </w:r>
      <w:r w:rsidR="005A41FF">
        <w:t xml:space="preserve">ppendicitis, the local/GMC ER/Urgent Care MD can </w:t>
      </w:r>
      <w:r w:rsidR="00AE36FB">
        <w:t xml:space="preserve">initiate the transfer through PTAC and speak directly with the accepting </w:t>
      </w:r>
      <w:r w:rsidR="005A41FF">
        <w:t xml:space="preserve">STMC SOD. </w:t>
      </w:r>
    </w:p>
    <w:p w:rsidR="00BE2BE7" w:rsidRPr="00F64B4D" w:rsidRDefault="00BE2BE7">
      <w:r>
        <w:t xml:space="preserve">*Once transfer is confirmed, SOD in STMC </w:t>
      </w:r>
      <w:r w:rsidR="006B63A3">
        <w:t>should create the case on the STMC grease board to lessen the OR wait time in the STMC. The patient’s chart can be</w:t>
      </w:r>
      <w:r>
        <w:t xml:space="preserve"> </w:t>
      </w:r>
      <w:r w:rsidR="00D8339C">
        <w:t xml:space="preserve">found </w:t>
      </w:r>
      <w:r w:rsidR="009D7854">
        <w:t xml:space="preserve">by searching for the chart </w:t>
      </w:r>
      <w:r w:rsidR="006B63A3">
        <w:t>by MR number (clicking the box “search my region”</w:t>
      </w:r>
      <w:r w:rsidR="00D8339C">
        <w:t>)</w:t>
      </w:r>
      <w:r w:rsidR="009D7854">
        <w:t>, importing th</w:t>
      </w:r>
      <w:r w:rsidR="00D8339C">
        <w:t xml:space="preserve">e chart and creating the case. This allows more time to pull the case and is preferred by the perioperative team, even if the case is subsequently cancelled. </w:t>
      </w:r>
    </w:p>
    <w:p w:rsidR="00FA016F" w:rsidRDefault="006B63A3">
      <w:r>
        <w:t xml:space="preserve">Note: There is a </w:t>
      </w:r>
      <w:r w:rsidR="00636263" w:rsidRPr="00F64B4D">
        <w:t xml:space="preserve">Pediatric Protocol for CT scanning </w:t>
      </w:r>
      <w:r>
        <w:t xml:space="preserve">which </w:t>
      </w:r>
      <w:r w:rsidR="00506B97">
        <w:t xml:space="preserve">can be requested at the time that the order is placed and this will reduce the radiation dose. </w:t>
      </w:r>
      <w:r>
        <w:t xml:space="preserve">However, the resolution of the images will be lower when this protocol is used, resulting in a potentially higher rate of equivocal studies. </w:t>
      </w:r>
    </w:p>
    <w:p w:rsidR="006B63A3" w:rsidRDefault="006B63A3"/>
    <w:p w:rsidR="006B63A3" w:rsidRDefault="006B63A3">
      <w:r>
        <w:br w:type="page"/>
      </w:r>
    </w:p>
    <w:p w:rsidR="006B63A3" w:rsidRDefault="006B63A3"/>
    <w:p w:rsidR="00EC6DB0" w:rsidRPr="00F64B4D" w:rsidRDefault="00F64B4D">
      <w:r w:rsidRPr="00F64B4D">
        <w:t>Pediatric Appendicitis Score</w:t>
      </w:r>
    </w:p>
    <w:p w:rsidR="00F64B4D" w:rsidRPr="00F64B4D" w:rsidRDefault="00F64B4D"/>
    <w:p w:rsidR="00F64B4D" w:rsidRPr="00F64B4D" w:rsidRDefault="00F64B4D">
      <w:r w:rsidRPr="00F64B4D">
        <w:t xml:space="preserve">From: Madan Samuel: Pediatric appendicitis score, J </w:t>
      </w:r>
      <w:proofErr w:type="spellStart"/>
      <w:r w:rsidRPr="00F64B4D">
        <w:t>Pediatr</w:t>
      </w:r>
      <w:proofErr w:type="spellEnd"/>
      <w:r w:rsidRPr="00F64B4D">
        <w:t xml:space="preserve"> </w:t>
      </w:r>
      <w:proofErr w:type="spellStart"/>
      <w:r w:rsidRPr="00F64B4D">
        <w:t>Surg</w:t>
      </w:r>
      <w:proofErr w:type="spellEnd"/>
      <w:r w:rsidRPr="00F64B4D">
        <w:t xml:space="preserve"> 2002, 37(6): 877-881. </w:t>
      </w:r>
    </w:p>
    <w:p w:rsidR="00EC6DB0" w:rsidRPr="00F64B4D" w:rsidRDefault="00EC6DB0"/>
    <w:p w:rsidR="00EC6DB0" w:rsidRPr="00EC6DB0" w:rsidRDefault="00EC6DB0" w:rsidP="00EC6DB0">
      <w:pPr>
        <w:shd w:val="clear" w:color="auto" w:fill="FCFCFC"/>
        <w:spacing w:after="0" w:line="240" w:lineRule="auto"/>
        <w:ind w:left="720"/>
        <w:textAlignment w:val="baseline"/>
        <w:rPr>
          <w:rFonts w:eastAsia="Arial Unicode MS" w:cs="Arial Unicode MS"/>
          <w:color w:val="5C5C5C"/>
          <w:sz w:val="16"/>
          <w:szCs w:val="16"/>
        </w:rPr>
      </w:pPr>
      <w:r w:rsidRPr="00EC6DB0">
        <w:rPr>
          <w:rFonts w:eastAsia="Arial Unicode MS" w:cs="Arial Unicode MS"/>
          <w:color w:val="5C5C5C"/>
          <w:sz w:val="16"/>
          <w:szCs w:val="16"/>
          <w:bdr w:val="none" w:sz="0" w:space="0" w:color="auto" w:frame="1"/>
        </w:rPr>
        <w:t>Table 2.</w:t>
      </w:r>
    </w:p>
    <w:p w:rsidR="00EC6DB0" w:rsidRPr="00EC6DB0" w:rsidRDefault="00EC6DB0" w:rsidP="00EC6DB0">
      <w:pPr>
        <w:shd w:val="clear" w:color="auto" w:fill="FCFCFC"/>
        <w:spacing w:before="135" w:after="135" w:line="240" w:lineRule="auto"/>
        <w:ind w:left="720"/>
        <w:textAlignment w:val="baseline"/>
        <w:rPr>
          <w:rFonts w:eastAsia="Arial Unicode MS" w:cs="Arial Unicode MS"/>
          <w:color w:val="5C5C5C"/>
          <w:sz w:val="16"/>
          <w:szCs w:val="16"/>
        </w:rPr>
      </w:pPr>
      <w:r w:rsidRPr="00EC6DB0">
        <w:rPr>
          <w:rFonts w:eastAsia="Arial Unicode MS" w:cs="Arial Unicode MS"/>
          <w:color w:val="5C5C5C"/>
          <w:sz w:val="16"/>
          <w:szCs w:val="16"/>
        </w:rPr>
        <w:t>Comparison of the diagnostic weight of the diagnostic indicants between group 1 and group 2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336"/>
        <w:gridCol w:w="2592"/>
        <w:gridCol w:w="771"/>
        <w:gridCol w:w="699"/>
      </w:tblGrid>
      <w:tr w:rsidR="00EC6DB0" w:rsidRPr="00EC6DB0" w:rsidTr="00EC6DB0">
        <w:trPr>
          <w:tblHeader/>
        </w:trPr>
        <w:tc>
          <w:tcPr>
            <w:tcW w:w="0" w:type="auto"/>
            <w:tcBorders>
              <w:top w:val="single" w:sz="6" w:space="0" w:color="F9FBFC"/>
              <w:left w:val="single" w:sz="6" w:space="0" w:color="F9FBFC"/>
              <w:bottom w:val="single" w:sz="6" w:space="0" w:color="F9FBFC"/>
              <w:right w:val="single" w:sz="6" w:space="0" w:color="F9FBFC"/>
            </w:tcBorders>
            <w:shd w:val="clear" w:color="auto" w:fill="F9FBFC"/>
            <w:tcMar>
              <w:top w:w="24" w:type="dxa"/>
              <w:left w:w="120" w:type="dxa"/>
              <w:bottom w:w="24" w:type="dxa"/>
              <w:right w:w="120" w:type="dxa"/>
            </w:tcMar>
            <w:vAlign w:val="bottom"/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Diagnostic Indicants</w:t>
            </w:r>
          </w:p>
        </w:tc>
        <w:tc>
          <w:tcPr>
            <w:tcW w:w="0" w:type="auto"/>
            <w:tcBorders>
              <w:top w:val="single" w:sz="6" w:space="0" w:color="F9FBFC"/>
              <w:left w:val="single" w:sz="6" w:space="0" w:color="F9FBFC"/>
              <w:bottom w:val="single" w:sz="6" w:space="0" w:color="F9FBFC"/>
              <w:right w:val="single" w:sz="6" w:space="0" w:color="F9FBFC"/>
            </w:tcBorders>
            <w:shd w:val="clear" w:color="auto" w:fill="F9FBFC"/>
            <w:tcMar>
              <w:top w:w="24" w:type="dxa"/>
              <w:left w:w="120" w:type="dxa"/>
              <w:bottom w:w="24" w:type="dxa"/>
              <w:right w:w="120" w:type="dxa"/>
            </w:tcMar>
            <w:vAlign w:val="bottom"/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Appendicitis (group 1) Diagnostic Weight</w:t>
            </w:r>
          </w:p>
        </w:tc>
        <w:tc>
          <w:tcPr>
            <w:tcW w:w="0" w:type="auto"/>
            <w:tcBorders>
              <w:top w:val="single" w:sz="6" w:space="0" w:color="F9FBFC"/>
              <w:left w:val="single" w:sz="6" w:space="0" w:color="F9FBFC"/>
              <w:bottom w:val="single" w:sz="6" w:space="0" w:color="F9FBFC"/>
              <w:right w:val="single" w:sz="6" w:space="0" w:color="F9FBFC"/>
            </w:tcBorders>
            <w:shd w:val="clear" w:color="auto" w:fill="F9FBFC"/>
            <w:tcMar>
              <w:top w:w="24" w:type="dxa"/>
              <w:left w:w="120" w:type="dxa"/>
              <w:bottom w:w="24" w:type="dxa"/>
              <w:right w:w="120" w:type="dxa"/>
            </w:tcMar>
            <w:vAlign w:val="bottom"/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proofErr w:type="spellStart"/>
            <w:r w:rsidRPr="00EC6DB0">
              <w:rPr>
                <w:rFonts w:eastAsia="Arial Unicode MS" w:cs="Arial Unicode MS"/>
                <w:sz w:val="16"/>
                <w:szCs w:val="16"/>
              </w:rPr>
              <w:t>Nonappendicitis</w:t>
            </w:r>
            <w:proofErr w:type="spellEnd"/>
            <w:r w:rsidRPr="00EC6DB0">
              <w:rPr>
                <w:rFonts w:eastAsia="Arial Unicode MS" w:cs="Arial Unicode MS"/>
                <w:sz w:val="16"/>
                <w:szCs w:val="16"/>
              </w:rPr>
              <w:t xml:space="preserve"> (group 2) Diagnostic Weight</w:t>
            </w:r>
          </w:p>
        </w:tc>
        <w:tc>
          <w:tcPr>
            <w:tcW w:w="0" w:type="auto"/>
            <w:tcBorders>
              <w:top w:val="single" w:sz="6" w:space="0" w:color="F9FBFC"/>
              <w:left w:val="single" w:sz="6" w:space="0" w:color="F9FBFC"/>
              <w:bottom w:val="single" w:sz="6" w:space="0" w:color="F9FBFC"/>
              <w:right w:val="single" w:sz="6" w:space="0" w:color="F9FBFC"/>
            </w:tcBorders>
            <w:shd w:val="clear" w:color="auto" w:fill="F9FBFC"/>
            <w:tcMar>
              <w:top w:w="24" w:type="dxa"/>
              <w:left w:w="120" w:type="dxa"/>
              <w:bottom w:w="24" w:type="dxa"/>
              <w:right w:w="120" w:type="dxa"/>
            </w:tcMar>
            <w:vAlign w:val="bottom"/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proofErr w:type="spellStart"/>
            <w:r w:rsidRPr="00EC6DB0">
              <w:rPr>
                <w:rFonts w:eastAsia="Arial Unicode MS" w:cs="Arial Unicode MS"/>
                <w:i/>
                <w:iCs/>
                <w:sz w:val="16"/>
                <w:szCs w:val="16"/>
                <w:bdr w:val="none" w:sz="0" w:space="0" w:color="auto" w:frame="1"/>
              </w:rPr>
              <w:t>P</w:t>
            </w:r>
            <w:r w:rsidRPr="00EC6DB0">
              <w:rPr>
                <w:rFonts w:eastAsia="Arial Unicode MS" w:cs="Arial Unicode MS"/>
                <w:sz w:val="16"/>
                <w:szCs w:val="16"/>
              </w:rPr>
              <w:t>Value</w:t>
            </w:r>
            <w:proofErr w:type="spellEnd"/>
            <w:r w:rsidRPr="00EC6DB0">
              <w:rPr>
                <w:rFonts w:eastAsia="Arial Unicode MS" w:cs="Arial Unicode MS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top w:val="single" w:sz="6" w:space="0" w:color="F9FBFC"/>
              <w:left w:val="single" w:sz="6" w:space="0" w:color="F9FBFC"/>
              <w:bottom w:val="single" w:sz="6" w:space="0" w:color="F9FBFC"/>
              <w:right w:val="single" w:sz="6" w:space="0" w:color="F9FBFC"/>
            </w:tcBorders>
            <w:shd w:val="clear" w:color="auto" w:fill="F9FBFC"/>
            <w:tcMar>
              <w:top w:w="24" w:type="dxa"/>
              <w:left w:w="120" w:type="dxa"/>
              <w:bottom w:w="24" w:type="dxa"/>
              <w:right w:w="120" w:type="dxa"/>
            </w:tcMar>
            <w:vAlign w:val="bottom"/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PAS (10)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Cough/percussion tenderness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0.96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2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Hopping tenderness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0.96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Anorexia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0.88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1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Pyrexia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0.87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1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Nausea/Emesis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0.86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1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Tenderness in right lower quadrant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0.84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2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Leukocytosis†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0.81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0.2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1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proofErr w:type="spellStart"/>
            <w:r w:rsidRPr="00EC6DB0">
              <w:rPr>
                <w:rFonts w:eastAsia="Arial Unicode MS" w:cs="Arial Unicode MS"/>
                <w:sz w:val="16"/>
                <w:szCs w:val="16"/>
              </w:rPr>
              <w:t>Polymorphonuclear</w:t>
            </w:r>
            <w:proofErr w:type="spellEnd"/>
            <w:r w:rsidRPr="00EC6DB0">
              <w:rPr>
                <w:rFonts w:eastAsia="Arial Unicode MS" w:cs="Arial Unicode MS"/>
                <w:sz w:val="16"/>
                <w:szCs w:val="16"/>
              </w:rPr>
              <w:t xml:space="preserve"> </w:t>
            </w:r>
            <w:proofErr w:type="spellStart"/>
            <w:r w:rsidRPr="00EC6DB0">
              <w:rPr>
                <w:rFonts w:eastAsia="Arial Unicode MS" w:cs="Arial Unicode MS"/>
                <w:sz w:val="16"/>
                <w:szCs w:val="16"/>
              </w:rPr>
              <w:t>neutrophilia</w:t>
            </w:r>
            <w:proofErr w:type="spellEnd"/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0.80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1</w:t>
            </w:r>
          </w:p>
        </w:tc>
      </w:tr>
      <w:tr w:rsidR="00EC6DB0" w:rsidRPr="00EC6DB0" w:rsidTr="00EC6DB0"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Migration of pain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0.80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0.2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1</w:t>
            </w:r>
          </w:p>
        </w:tc>
      </w:tr>
      <w:tr w:rsidR="00EC6DB0" w:rsidRPr="00EC6DB0" w:rsidTr="00EC6DB0">
        <w:tc>
          <w:tcPr>
            <w:tcW w:w="0" w:type="auto"/>
            <w:gridSpan w:val="5"/>
            <w:tcBorders>
              <w:top w:val="single" w:sz="6" w:space="0" w:color="ECF2F6"/>
              <w:left w:val="single" w:sz="6" w:space="0" w:color="ECF2F6"/>
              <w:bottom w:val="single" w:sz="6" w:space="0" w:color="ECF2F6"/>
              <w:right w:val="single" w:sz="6" w:space="0" w:color="ECF2F6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EC6DB0" w:rsidRPr="00EC6DB0" w:rsidRDefault="00EC6DB0" w:rsidP="00EC6DB0">
            <w:pPr>
              <w:spacing w:after="0" w:line="240" w:lineRule="auto"/>
              <w:rPr>
                <w:rFonts w:eastAsia="Arial Unicode MS" w:cs="Arial Unicode MS"/>
                <w:sz w:val="16"/>
                <w:szCs w:val="16"/>
              </w:rPr>
            </w:pPr>
            <w:r w:rsidRPr="00EC6DB0">
              <w:rPr>
                <w:rFonts w:eastAsia="Arial Unicode MS" w:cs="Arial Unicode MS"/>
                <w:sz w:val="16"/>
                <w:szCs w:val="16"/>
              </w:rPr>
              <w:t>*</w:t>
            </w:r>
            <w:r w:rsidRPr="00EC6DB0">
              <w:rPr>
                <w:rFonts w:eastAsia="Arial Unicode MS" w:cs="Arial Unicode MS"/>
                <w:i/>
                <w:iCs/>
                <w:sz w:val="16"/>
                <w:szCs w:val="16"/>
                <w:bdr w:val="none" w:sz="0" w:space="0" w:color="auto" w:frame="1"/>
              </w:rPr>
              <w:t>P</w:t>
            </w:r>
            <w:r w:rsidRPr="00EC6DB0">
              <w:rPr>
                <w:rFonts w:eastAsia="Arial Unicode MS" w:cs="Arial Unicode MS"/>
                <w:sz w:val="16"/>
                <w:szCs w:val="16"/>
              </w:rPr>
              <w:t> &lt;.05 statistically significant. †Leukocytosis with a white blood count of ≥ 10,000(10</w:t>
            </w:r>
            <w:r w:rsidRPr="00EC6DB0">
              <w:rPr>
                <w:rFonts w:eastAsia="Arial Unicode MS" w:cs="Arial Unicode MS"/>
                <w:sz w:val="12"/>
                <w:szCs w:val="12"/>
                <w:bdr w:val="none" w:sz="0" w:space="0" w:color="auto" w:frame="1"/>
                <w:vertAlign w:val="superscript"/>
              </w:rPr>
              <w:t>9</w:t>
            </w:r>
            <w:r w:rsidRPr="00EC6DB0">
              <w:rPr>
                <w:rFonts w:eastAsia="Arial Unicode MS" w:cs="Arial Unicode MS"/>
                <w:sz w:val="16"/>
                <w:szCs w:val="16"/>
              </w:rPr>
              <w:t>/L).</w:t>
            </w:r>
          </w:p>
        </w:tc>
      </w:tr>
    </w:tbl>
    <w:p w:rsidR="00F27401" w:rsidRDefault="00F27401"/>
    <w:p w:rsidR="00053B74" w:rsidRDefault="00053B74">
      <w:r>
        <w:t>Score of 7 or higher is highly suspicious for appendicitis</w:t>
      </w:r>
    </w:p>
    <w:p w:rsidR="00053B74" w:rsidRDefault="00053B74">
      <w:r>
        <w:t xml:space="preserve">Score below 5 is unlikely to be appendicitis. </w:t>
      </w:r>
    </w:p>
    <w:p w:rsidR="00053B74" w:rsidRPr="00F64B4D" w:rsidRDefault="00053B74">
      <w:r>
        <w:t>Examination by an experienced surgeon is highly valuable because no scoring system is perfect</w:t>
      </w:r>
    </w:p>
    <w:sectPr w:rsidR="00053B74" w:rsidRPr="00F64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684"/>
    <w:multiLevelType w:val="hybridMultilevel"/>
    <w:tmpl w:val="40765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1432"/>
    <w:multiLevelType w:val="hybridMultilevel"/>
    <w:tmpl w:val="50845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42"/>
    <w:rsid w:val="00053B74"/>
    <w:rsid w:val="00070C2D"/>
    <w:rsid w:val="000D3342"/>
    <w:rsid w:val="00173337"/>
    <w:rsid w:val="00341496"/>
    <w:rsid w:val="00457BA1"/>
    <w:rsid w:val="00506B97"/>
    <w:rsid w:val="005A41FF"/>
    <w:rsid w:val="00636263"/>
    <w:rsid w:val="006B63A3"/>
    <w:rsid w:val="006D7179"/>
    <w:rsid w:val="007C4874"/>
    <w:rsid w:val="007D2ACB"/>
    <w:rsid w:val="00813B2B"/>
    <w:rsid w:val="00924702"/>
    <w:rsid w:val="009D7854"/>
    <w:rsid w:val="00A407AE"/>
    <w:rsid w:val="00A42CA4"/>
    <w:rsid w:val="00A72F03"/>
    <w:rsid w:val="00A96C34"/>
    <w:rsid w:val="00AE36FB"/>
    <w:rsid w:val="00BE2BE7"/>
    <w:rsid w:val="00D8339C"/>
    <w:rsid w:val="00DF42B7"/>
    <w:rsid w:val="00EA1775"/>
    <w:rsid w:val="00EC6DB0"/>
    <w:rsid w:val="00F27401"/>
    <w:rsid w:val="00F64B4D"/>
    <w:rsid w:val="00F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0AC96-CEE0-4E08-8C43-10CEA20E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2CA21D2EB6A4783590DD881AF8459" ma:contentTypeVersion="0" ma:contentTypeDescription="Create a new document." ma:contentTypeScope="" ma:versionID="e09e12afa7b76e753e232ba3d65dad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D676A-EC10-48AC-A997-ECE5BD71A4EC}"/>
</file>

<file path=customXml/itemProps2.xml><?xml version="1.0" encoding="utf-8"?>
<ds:datastoreItem xmlns:ds="http://schemas.openxmlformats.org/officeDocument/2006/customXml" ds:itemID="{16E44A03-57BF-451A-B0CD-D258F353A76B}"/>
</file>

<file path=customXml/itemProps3.xml><?xml version="1.0" encoding="utf-8"?>
<ds:datastoreItem xmlns:ds="http://schemas.openxmlformats.org/officeDocument/2006/customXml" ds:itemID="{023AB17C-953A-4C21-8C10-C5A800F7A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B. SHAUL</dc:creator>
  <cp:keywords/>
  <dc:description/>
  <cp:lastModifiedBy>Stacey H Francis</cp:lastModifiedBy>
  <cp:revision>2</cp:revision>
  <dcterms:created xsi:type="dcterms:W3CDTF">2016-09-08T17:39:00Z</dcterms:created>
  <dcterms:modified xsi:type="dcterms:W3CDTF">2016-09-08T17:39:00Z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0x01010027F2CA21D2EB6A4783590DD881AF8459</vt:lpwstr>
  </property>
</Properties>
</file>